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A9F8">
      <w:pPr>
        <w:jc w:val="center"/>
        <w:rPr>
          <w:b/>
          <w:bCs/>
          <w:sz w:val="24"/>
          <w:szCs w:val="32"/>
        </w:rPr>
      </w:pPr>
    </w:p>
    <w:p w14:paraId="6C99F3FE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2026年</w:t>
      </w:r>
      <w:r>
        <w:rPr>
          <w:rFonts w:hint="eastAsia"/>
          <w:b/>
          <w:bCs/>
          <w:sz w:val="24"/>
          <w:szCs w:val="32"/>
          <w:lang w:val="en-US" w:eastAsia="zh-CN"/>
        </w:rPr>
        <w:t>上海政法学院</w:t>
      </w:r>
      <w:r>
        <w:rPr>
          <w:b/>
          <w:bCs/>
          <w:sz w:val="24"/>
          <w:szCs w:val="32"/>
        </w:rPr>
        <w:t>国际学生本科专业CSCA测试科目</w:t>
      </w:r>
    </w:p>
    <w:p w14:paraId="3D9A4EF8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2026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Shanghai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</w:rPr>
        <w:t>University of Political Science and Law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CSCA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Test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Subjects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for International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Undergraduate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b/>
          <w:bCs/>
          <w:sz w:val="24"/>
          <w:szCs w:val="32"/>
        </w:rPr>
        <w:t>Students</w:t>
      </w:r>
    </w:p>
    <w:p w14:paraId="57D0C50E"/>
    <w:p w14:paraId="34EB69ED">
      <w:pPr>
        <w:rPr>
          <w:sz w:val="22"/>
          <w:szCs w:val="22"/>
        </w:rPr>
      </w:pPr>
      <w:r>
        <w:rPr>
          <w:sz w:val="22"/>
          <w:szCs w:val="22"/>
        </w:rPr>
        <w:t>注：</w:t>
      </w:r>
    </w:p>
    <w:p w14:paraId="79D99D6F">
      <w:pPr>
        <w:rPr>
          <w:sz w:val="22"/>
          <w:szCs w:val="22"/>
        </w:rPr>
      </w:pPr>
      <w:r>
        <w:rPr>
          <w:sz w:val="22"/>
          <w:szCs w:val="22"/>
        </w:rPr>
        <w:t>1.申请中文授课项目的学生，请务必选择CSCA测试科目中文语种试卷，不可选择英文语种试卷；申请英文授课项目的学生，请务必选择CSCA测试科目英文语种试卷。</w:t>
      </w:r>
    </w:p>
    <w:p w14:paraId="08C0B9DB">
      <w:pPr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2.申请全英文授课本科学历教育的申请人，无需参加专业中文测试，但需参加数学测试。</w:t>
      </w:r>
    </w:p>
    <w:p w14:paraId="403D66A4">
      <w:pPr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3.申请</w:t>
      </w:r>
      <w:r>
        <w:rPr>
          <w:rFonts w:hint="eastAsia"/>
          <w:b/>
          <w:bCs/>
          <w:sz w:val="22"/>
          <w:szCs w:val="22"/>
          <w:lang w:val="en-US" w:eastAsia="zh-CN"/>
        </w:rPr>
        <w:t>商务汉语</w:t>
      </w:r>
      <w:r>
        <w:rPr>
          <w:rFonts w:hint="eastAsia"/>
          <w:sz w:val="22"/>
          <w:szCs w:val="22"/>
          <w:lang w:val="en-US" w:eastAsia="zh-CN"/>
        </w:rPr>
        <w:t>、</w:t>
      </w:r>
      <w:r>
        <w:rPr>
          <w:rFonts w:hint="eastAsia"/>
          <w:b/>
          <w:bCs/>
          <w:sz w:val="22"/>
          <w:szCs w:val="22"/>
          <w:lang w:val="en-US" w:eastAsia="zh-CN"/>
        </w:rPr>
        <w:t>国际中文教育</w:t>
      </w:r>
      <w:r>
        <w:rPr>
          <w:sz w:val="22"/>
          <w:szCs w:val="22"/>
        </w:rPr>
        <w:t>本科专业的学生，如提交HSK4 级180分（含）以上成绩，可免考文科中文科目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  <w:lang w:val="en-US" w:eastAsia="zh-CN"/>
        </w:rPr>
        <w:t>但需参加数学测试。</w:t>
      </w:r>
    </w:p>
    <w:p w14:paraId="60C43677">
      <w:r>
        <w:t>Note:</w:t>
      </w:r>
    </w:p>
    <w:p w14:paraId="56BD7280">
      <w:r>
        <w:t>1.Applicants for</w:t>
      </w:r>
      <w:r>
        <w:rPr>
          <w:rFonts w:hint="eastAsia"/>
          <w:lang w:val="en-US" w:eastAsia="zh-CN"/>
        </w:rPr>
        <w:t xml:space="preserve"> </w:t>
      </w:r>
      <w:r>
        <w:t>Chinese-taught</w:t>
      </w:r>
      <w:r>
        <w:rPr>
          <w:rFonts w:hint="eastAsia"/>
          <w:lang w:val="en-US" w:eastAsia="zh-CN"/>
        </w:rPr>
        <w:t xml:space="preserve"> </w:t>
      </w:r>
      <w:r>
        <w:t>programs</w:t>
      </w:r>
      <w:r>
        <w:rPr>
          <w:rFonts w:hint="eastAsia"/>
          <w:lang w:val="en-US" w:eastAsia="zh-CN"/>
        </w:rPr>
        <w:t xml:space="preserve"> </w:t>
      </w:r>
      <w:r>
        <w:t>must select the</w:t>
      </w:r>
      <w:r>
        <w:rPr>
          <w:rFonts w:hint="eastAsia"/>
          <w:lang w:val="en-US" w:eastAsia="zh-CN"/>
        </w:rPr>
        <w:t xml:space="preserve"> </w:t>
      </w:r>
      <w:r>
        <w:t>Chinese</w:t>
      </w:r>
      <w:r>
        <w:rPr>
          <w:rFonts w:hint="eastAsia"/>
          <w:lang w:val="en-US" w:eastAsia="zh-CN"/>
        </w:rPr>
        <w:t xml:space="preserve"> </w:t>
      </w:r>
      <w:r>
        <w:t>language</w:t>
      </w:r>
      <w:r>
        <w:rPr>
          <w:rFonts w:hint="eastAsia"/>
          <w:lang w:val="en-US" w:eastAsia="zh-CN"/>
        </w:rPr>
        <w:t xml:space="preserve"> </w:t>
      </w:r>
      <w:r>
        <w:t>version</w:t>
      </w:r>
      <w:r>
        <w:rPr>
          <w:rFonts w:hint="eastAsia"/>
          <w:lang w:val="en-US" w:eastAsia="zh-CN"/>
        </w:rPr>
        <w:t xml:space="preserve"> </w:t>
      </w:r>
      <w:r>
        <w:t>of the</w:t>
      </w:r>
      <w:r>
        <w:rPr>
          <w:rFonts w:hint="eastAsia"/>
          <w:lang w:val="en-US" w:eastAsia="zh-CN"/>
        </w:rPr>
        <w:t xml:space="preserve"> </w:t>
      </w:r>
      <w:r>
        <w:t>CSCA</w:t>
      </w:r>
      <w:r>
        <w:rPr>
          <w:rFonts w:hint="default"/>
          <w:lang w:val="en-US"/>
        </w:rPr>
        <w:t xml:space="preserve"> </w:t>
      </w:r>
      <w:r>
        <w:t>test</w:t>
      </w:r>
      <w:r>
        <w:rPr>
          <w:rFonts w:hint="default"/>
          <w:lang w:val="en-US"/>
        </w:rPr>
        <w:t xml:space="preserve"> </w:t>
      </w:r>
      <w:r>
        <w:t>and</w:t>
      </w:r>
      <w:r>
        <w:rPr>
          <w:rFonts w:hint="eastAsia"/>
          <w:lang w:val="en-US" w:eastAsia="zh-CN"/>
        </w:rPr>
        <w:t xml:space="preserve"> </w:t>
      </w:r>
      <w:r>
        <w:t>cannot choose</w:t>
      </w:r>
      <w:r>
        <w:rPr>
          <w:rFonts w:hint="eastAsia"/>
          <w:lang w:val="en-US" w:eastAsia="zh-CN"/>
        </w:rPr>
        <w:t xml:space="preserve"> </w:t>
      </w:r>
      <w:r>
        <w:t>the</w:t>
      </w:r>
      <w:r>
        <w:rPr>
          <w:rFonts w:hint="eastAsia"/>
          <w:lang w:val="en-US" w:eastAsia="zh-CN"/>
        </w:rPr>
        <w:t xml:space="preserve"> </w:t>
      </w:r>
      <w:r>
        <w:t>English</w:t>
      </w:r>
      <w:r>
        <w:rPr>
          <w:rFonts w:hint="eastAsia"/>
          <w:lang w:val="en-US" w:eastAsia="zh-CN"/>
        </w:rPr>
        <w:t xml:space="preserve"> </w:t>
      </w:r>
      <w:r>
        <w:t>language</w:t>
      </w:r>
      <w:r>
        <w:rPr>
          <w:rFonts w:hint="default"/>
          <w:lang w:val="en-US"/>
        </w:rPr>
        <w:t xml:space="preserve"> </w:t>
      </w:r>
      <w:r>
        <w:t>version.</w:t>
      </w:r>
      <w:r>
        <w:rPr>
          <w:rFonts w:hint="default"/>
          <w:lang w:val="en-US"/>
        </w:rPr>
        <w:t xml:space="preserve"> </w:t>
      </w:r>
      <w:r>
        <w:t>Applicants for</w:t>
      </w:r>
      <w:r>
        <w:rPr>
          <w:rFonts w:hint="default"/>
          <w:lang w:val="en-US"/>
        </w:rPr>
        <w:t xml:space="preserve"> </w:t>
      </w:r>
      <w:r>
        <w:t>English-taught</w:t>
      </w:r>
      <w:r>
        <w:rPr>
          <w:rFonts w:hint="default"/>
          <w:lang w:val="en-US"/>
        </w:rPr>
        <w:t xml:space="preserve"> </w:t>
      </w:r>
      <w:r>
        <w:t>programs</w:t>
      </w:r>
      <w:r>
        <w:rPr>
          <w:rFonts w:hint="default"/>
          <w:lang w:val="en-US"/>
        </w:rPr>
        <w:t xml:space="preserve"> </w:t>
      </w:r>
      <w:r>
        <w:t>must select the</w:t>
      </w:r>
      <w:r>
        <w:rPr>
          <w:rFonts w:hint="default"/>
          <w:lang w:val="en-US"/>
        </w:rPr>
        <w:t xml:space="preserve"> </w:t>
      </w:r>
      <w:r>
        <w:t>English</w:t>
      </w:r>
      <w:r>
        <w:rPr>
          <w:rFonts w:hint="default"/>
          <w:lang w:val="en-US"/>
        </w:rPr>
        <w:t xml:space="preserve"> </w:t>
      </w:r>
      <w:r>
        <w:t>language</w:t>
      </w:r>
      <w:r>
        <w:rPr>
          <w:rFonts w:hint="default"/>
          <w:lang w:val="en-US"/>
        </w:rPr>
        <w:t xml:space="preserve"> </w:t>
      </w:r>
      <w:r>
        <w:t>version</w:t>
      </w:r>
      <w:r>
        <w:rPr>
          <w:rFonts w:hint="default"/>
          <w:lang w:val="en-US"/>
        </w:rPr>
        <w:t xml:space="preserve"> </w:t>
      </w:r>
      <w:r>
        <w:t>of the</w:t>
      </w:r>
      <w:r>
        <w:rPr>
          <w:rFonts w:hint="default"/>
          <w:lang w:val="en-US"/>
        </w:rPr>
        <w:t xml:space="preserve"> </w:t>
      </w:r>
      <w:r>
        <w:t>CSCA</w:t>
      </w:r>
      <w:r>
        <w:rPr>
          <w:rFonts w:hint="default"/>
          <w:lang w:val="en-US"/>
        </w:rPr>
        <w:t xml:space="preserve"> </w:t>
      </w:r>
      <w:r>
        <w:t>test.</w:t>
      </w:r>
    </w:p>
    <w:p w14:paraId="37C4E61E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2. Applicants applying for a bachelor's degree </w:t>
      </w:r>
      <w:r>
        <w:t>English-taught</w:t>
      </w:r>
      <w:r>
        <w:rPr>
          <w:rFonts w:hint="default"/>
          <w:lang w:val="en-US"/>
        </w:rPr>
        <w:t xml:space="preserve"> </w:t>
      </w:r>
      <w:r>
        <w:t>programs</w:t>
      </w:r>
      <w:r>
        <w:rPr>
          <w:rFonts w:hint="eastAsia"/>
          <w:lang w:val="en-US" w:eastAsia="zh-CN"/>
        </w:rPr>
        <w:t xml:space="preserve"> do not need to take the Professional Chinese Test, </w:t>
      </w:r>
      <w:r>
        <w:rPr>
          <w:rFonts w:hint="default"/>
          <w:lang w:val="en-US"/>
        </w:rPr>
        <w:t>but need to take a Math Test.</w:t>
      </w:r>
    </w:p>
    <w:p w14:paraId="72E8545D">
      <w:pPr>
        <w:rPr>
          <w:rFonts w:hint="default"/>
          <w:lang w:val="en-US"/>
        </w:rPr>
      </w:pPr>
      <w:r>
        <w:t>3.Applicants</w:t>
      </w:r>
      <w:r>
        <w:rPr>
          <w:rFonts w:hint="eastAsia"/>
        </w:rPr>
        <w:t xml:space="preserve"> applying for the undergraduate programs of </w:t>
      </w:r>
      <w:r>
        <w:rPr>
          <w:rFonts w:hint="eastAsia"/>
          <w:b/>
          <w:bCs/>
          <w:lang w:val="en-US" w:eastAsia="zh-CN"/>
        </w:rPr>
        <w:t>Business Chinese</w:t>
      </w:r>
      <w:r>
        <w:rPr>
          <w:rFonts w:hint="eastAsia"/>
        </w:rPr>
        <w:t xml:space="preserve"> and </w:t>
      </w:r>
      <w:r>
        <w:rPr>
          <w:rFonts w:hint="eastAsia"/>
          <w:b/>
          <w:bCs/>
          <w:lang w:val="en-US" w:eastAsia="zh-CN"/>
        </w:rPr>
        <w:t>Teaching Chinese to Speakers of Other Languages</w:t>
      </w:r>
      <w:r>
        <w:rPr>
          <w:rFonts w:hint="eastAsia"/>
        </w:rPr>
        <w:t xml:space="preserve"> </w:t>
      </w:r>
      <w:r>
        <w:t>who submit an</w:t>
      </w:r>
      <w:r>
        <w:rPr>
          <w:rFonts w:hint="eastAsia"/>
          <w:lang w:val="en-US" w:eastAsia="zh-CN"/>
        </w:rPr>
        <w:t xml:space="preserve"> </w:t>
      </w:r>
      <w:r>
        <w:t>HSK Level 4 score of 180 or above</w:t>
      </w:r>
      <w:r>
        <w:rPr>
          <w:rFonts w:hint="eastAsia"/>
          <w:lang w:val="en-US" w:eastAsia="zh-CN"/>
        </w:rPr>
        <w:t xml:space="preserve"> </w:t>
      </w:r>
      <w:r>
        <w:t>will be</w:t>
      </w:r>
      <w:r>
        <w:rPr>
          <w:rFonts w:hint="eastAsia"/>
          <w:lang w:val="en-US" w:eastAsia="zh-CN"/>
        </w:rPr>
        <w:t xml:space="preserve"> </w:t>
      </w:r>
      <w:r>
        <w:t>exempt from</w:t>
      </w:r>
      <w:r>
        <w:rPr>
          <w:rFonts w:hint="eastAsia"/>
          <w:lang w:val="en-US" w:eastAsia="zh-CN"/>
        </w:rPr>
        <w:t xml:space="preserve"> </w:t>
      </w:r>
      <w:r>
        <w:t>the</w:t>
      </w:r>
      <w:r>
        <w:rPr>
          <w:rFonts w:hint="eastAsia"/>
          <w:lang w:val="en-US" w:eastAsia="zh-CN"/>
        </w:rPr>
        <w:t xml:space="preserve"> </w:t>
      </w:r>
      <w:r>
        <w:t>Professional</w:t>
      </w:r>
      <w:r>
        <w:rPr>
          <w:rFonts w:hint="eastAsia"/>
          <w:lang w:val="en-US" w:eastAsia="zh-CN"/>
        </w:rPr>
        <w:t xml:space="preserve"> </w:t>
      </w:r>
      <w:r>
        <w:t>Chinese</w:t>
      </w:r>
      <w:r>
        <w:rPr>
          <w:rFonts w:hint="eastAsia"/>
          <w:lang w:val="en-US" w:eastAsia="zh-CN"/>
        </w:rPr>
        <w:t xml:space="preserve"> </w:t>
      </w:r>
      <w:r>
        <w:t>Test</w:t>
      </w:r>
      <w:r>
        <w:rPr>
          <w:rFonts w:hint="default"/>
          <w:lang w:val="en-US"/>
        </w:rPr>
        <w:t>, but need to take a Math Test.</w:t>
      </w:r>
    </w:p>
    <w:p w14:paraId="0F859A68">
      <w:pPr>
        <w:rPr>
          <w:rFonts w:hint="default"/>
          <w:lang w:val="en-US"/>
        </w:rPr>
      </w:pPr>
    </w:p>
    <w:tbl>
      <w:tblPr>
        <w:tblStyle w:val="4"/>
        <w:tblW w:w="10158" w:type="dxa"/>
        <w:tblInd w:w="-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14"/>
        <w:gridCol w:w="2422"/>
        <w:gridCol w:w="3114"/>
        <w:gridCol w:w="1623"/>
      </w:tblGrid>
      <w:tr w14:paraId="2C3C6833">
        <w:tc>
          <w:tcPr>
            <w:tcW w:w="1185" w:type="dxa"/>
            <w:vAlign w:val="center"/>
          </w:tcPr>
          <w:p w14:paraId="05F9F87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申请学院</w:t>
            </w:r>
          </w:p>
        </w:tc>
        <w:tc>
          <w:tcPr>
            <w:tcW w:w="1814" w:type="dxa"/>
            <w:vAlign w:val="center"/>
          </w:tcPr>
          <w:p w14:paraId="13955C0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学院英文名</w:t>
            </w:r>
          </w:p>
        </w:tc>
        <w:tc>
          <w:tcPr>
            <w:tcW w:w="2422" w:type="dxa"/>
            <w:vAlign w:val="center"/>
          </w:tcPr>
          <w:p w14:paraId="76435AE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3114" w:type="dxa"/>
            <w:vAlign w:val="center"/>
          </w:tcPr>
          <w:p w14:paraId="173332B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专业英文名</w:t>
            </w:r>
          </w:p>
        </w:tc>
        <w:tc>
          <w:tcPr>
            <w:tcW w:w="1623" w:type="dxa"/>
            <w:vAlign w:val="center"/>
          </w:tcPr>
          <w:p w14:paraId="127C104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CSCA测试科目</w:t>
            </w:r>
          </w:p>
        </w:tc>
      </w:tr>
      <w:tr w14:paraId="5BE86FC7">
        <w:tc>
          <w:tcPr>
            <w:tcW w:w="1185" w:type="dxa"/>
            <w:vAlign w:val="center"/>
          </w:tcPr>
          <w:p w14:paraId="6D3C337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国际法学院</w:t>
            </w:r>
          </w:p>
        </w:tc>
        <w:tc>
          <w:tcPr>
            <w:tcW w:w="1814" w:type="dxa"/>
            <w:vAlign w:val="center"/>
          </w:tcPr>
          <w:p w14:paraId="4A337373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International Law</w:t>
            </w:r>
          </w:p>
        </w:tc>
        <w:tc>
          <w:tcPr>
            <w:tcW w:w="2422" w:type="dxa"/>
            <w:vAlign w:val="center"/>
          </w:tcPr>
          <w:p w14:paraId="7B6BC5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法学(国际法)（中文授课）</w:t>
            </w:r>
          </w:p>
        </w:tc>
        <w:tc>
          <w:tcPr>
            <w:tcW w:w="3114" w:type="dxa"/>
            <w:vAlign w:val="center"/>
          </w:tcPr>
          <w:p w14:paraId="55B1ADF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Science of Law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(International  Law)</w:t>
            </w:r>
          </w:p>
        </w:tc>
        <w:tc>
          <w:tcPr>
            <w:tcW w:w="1623" w:type="dxa"/>
            <w:vAlign w:val="center"/>
          </w:tcPr>
          <w:p w14:paraId="5E7B704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301859D0">
        <w:tc>
          <w:tcPr>
            <w:tcW w:w="1185" w:type="dxa"/>
            <w:vAlign w:val="center"/>
          </w:tcPr>
          <w:p w14:paraId="7DF3977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政府管理学院</w:t>
            </w:r>
          </w:p>
        </w:tc>
        <w:tc>
          <w:tcPr>
            <w:tcW w:w="1814" w:type="dxa"/>
            <w:vAlign w:val="center"/>
          </w:tcPr>
          <w:p w14:paraId="6672A68E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 of  Government</w:t>
            </w:r>
          </w:p>
        </w:tc>
        <w:tc>
          <w:tcPr>
            <w:tcW w:w="2422" w:type="dxa"/>
            <w:vAlign w:val="center"/>
          </w:tcPr>
          <w:p w14:paraId="059D3D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国际政治（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中文授课）</w:t>
            </w:r>
          </w:p>
        </w:tc>
        <w:tc>
          <w:tcPr>
            <w:tcW w:w="3114" w:type="dxa"/>
            <w:vAlign w:val="center"/>
          </w:tcPr>
          <w:p w14:paraId="58E6D5C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 Politics</w:t>
            </w:r>
          </w:p>
        </w:tc>
        <w:tc>
          <w:tcPr>
            <w:tcW w:w="1623" w:type="dxa"/>
            <w:vAlign w:val="center"/>
          </w:tcPr>
          <w:p w14:paraId="6FF3372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47812C7E">
        <w:trPr>
          <w:trHeight w:val="377" w:hRule="atLeast"/>
        </w:trPr>
        <w:tc>
          <w:tcPr>
            <w:tcW w:w="1185" w:type="dxa"/>
            <w:vMerge w:val="restart"/>
            <w:vAlign w:val="center"/>
          </w:tcPr>
          <w:p w14:paraId="2FCB899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1814" w:type="dxa"/>
            <w:vMerge w:val="restart"/>
            <w:vAlign w:val="center"/>
          </w:tcPr>
          <w:p w14:paraId="4F4AFB40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Economics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Management</w:t>
            </w:r>
          </w:p>
        </w:tc>
        <w:tc>
          <w:tcPr>
            <w:tcW w:w="2422" w:type="dxa"/>
            <w:vAlign w:val="center"/>
          </w:tcPr>
          <w:p w14:paraId="39CB6E8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经济与金融（中文授课）</w:t>
            </w:r>
          </w:p>
        </w:tc>
        <w:tc>
          <w:tcPr>
            <w:tcW w:w="3114" w:type="dxa"/>
            <w:vAlign w:val="center"/>
          </w:tcPr>
          <w:p w14:paraId="786287E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Economics  and  Finance</w:t>
            </w:r>
          </w:p>
        </w:tc>
        <w:tc>
          <w:tcPr>
            <w:tcW w:w="1623" w:type="dxa"/>
            <w:vAlign w:val="center"/>
          </w:tcPr>
          <w:p w14:paraId="1AA436D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3AFE0DAC">
        <w:tc>
          <w:tcPr>
            <w:tcW w:w="1185" w:type="dxa"/>
            <w:vMerge w:val="continue"/>
            <w:vAlign w:val="center"/>
          </w:tcPr>
          <w:p w14:paraId="28811F7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CFF380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71C0CF5C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国际经济与贸易（中文授课）</w:t>
            </w:r>
          </w:p>
        </w:tc>
        <w:tc>
          <w:tcPr>
            <w:tcW w:w="3114" w:type="dxa"/>
            <w:vAlign w:val="center"/>
          </w:tcPr>
          <w:p w14:paraId="712C1388">
            <w:pPr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Economy 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Trade</w:t>
            </w:r>
          </w:p>
        </w:tc>
        <w:tc>
          <w:tcPr>
            <w:tcW w:w="1623" w:type="dxa"/>
            <w:vAlign w:val="center"/>
          </w:tcPr>
          <w:p w14:paraId="66906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文科中文、数学</w:t>
            </w:r>
          </w:p>
        </w:tc>
      </w:tr>
      <w:tr w14:paraId="212FF1AF">
        <w:trPr>
          <w:trHeight w:val="268" w:hRule="atLeast"/>
        </w:trPr>
        <w:tc>
          <w:tcPr>
            <w:tcW w:w="1185" w:type="dxa"/>
            <w:vMerge w:val="continue"/>
            <w:vAlign w:val="center"/>
          </w:tcPr>
          <w:p w14:paraId="4BD12B6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40CA09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11C53CA1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国际经济与贸易（英文授课）</w:t>
            </w:r>
          </w:p>
        </w:tc>
        <w:tc>
          <w:tcPr>
            <w:tcW w:w="3114" w:type="dxa"/>
            <w:vAlign w:val="center"/>
          </w:tcPr>
          <w:p w14:paraId="3E2CDFE5">
            <w:pPr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International  Economy 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Trade（English-taught）</w:t>
            </w:r>
          </w:p>
        </w:tc>
        <w:tc>
          <w:tcPr>
            <w:tcW w:w="1623" w:type="dxa"/>
            <w:vAlign w:val="center"/>
          </w:tcPr>
          <w:p w14:paraId="790CB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</w:tr>
      <w:tr w14:paraId="1DCB84C2">
        <w:tc>
          <w:tcPr>
            <w:tcW w:w="1185" w:type="dxa"/>
            <w:vMerge w:val="continue"/>
            <w:vAlign w:val="center"/>
          </w:tcPr>
          <w:p w14:paraId="7B81D55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B97D8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782836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电子商务与法律（英文授课）</w:t>
            </w:r>
          </w:p>
        </w:tc>
        <w:tc>
          <w:tcPr>
            <w:tcW w:w="3114" w:type="dxa"/>
            <w:vAlign w:val="center"/>
          </w:tcPr>
          <w:p w14:paraId="5C8C8009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Electronic  Commerce  and  Law（English-taught）</w:t>
            </w:r>
          </w:p>
        </w:tc>
        <w:tc>
          <w:tcPr>
            <w:tcW w:w="1623" w:type="dxa"/>
            <w:vAlign w:val="center"/>
          </w:tcPr>
          <w:p w14:paraId="2C5297D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</w:tr>
      <w:tr w14:paraId="16C96DEC">
        <w:trPr>
          <w:trHeight w:val="919" w:hRule="atLeast"/>
        </w:trPr>
        <w:tc>
          <w:tcPr>
            <w:tcW w:w="1185" w:type="dxa"/>
            <w:vMerge w:val="restart"/>
            <w:vAlign w:val="center"/>
          </w:tcPr>
          <w:p w14:paraId="74C1C35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语言文化学院</w:t>
            </w:r>
          </w:p>
        </w:tc>
        <w:tc>
          <w:tcPr>
            <w:tcW w:w="1814" w:type="dxa"/>
            <w:vMerge w:val="restart"/>
            <w:vAlign w:val="center"/>
          </w:tcPr>
          <w:p w14:paraId="7C03CE40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School of Languages and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Cultures</w:t>
            </w:r>
          </w:p>
        </w:tc>
        <w:tc>
          <w:tcPr>
            <w:tcW w:w="2422" w:type="dxa"/>
            <w:vAlign w:val="center"/>
          </w:tcPr>
          <w:p w14:paraId="1F9A91B1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商务汉语（中文授课）</w:t>
            </w:r>
          </w:p>
        </w:tc>
        <w:tc>
          <w:tcPr>
            <w:tcW w:w="3114" w:type="dxa"/>
            <w:vAlign w:val="center"/>
          </w:tcPr>
          <w:p w14:paraId="1A5C1B12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Business   Chinese</w:t>
            </w:r>
          </w:p>
        </w:tc>
        <w:tc>
          <w:tcPr>
            <w:tcW w:w="1623" w:type="dxa"/>
            <w:vAlign w:val="center"/>
          </w:tcPr>
          <w:p w14:paraId="7ECA60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文科中文（持HSK合格成绩可免考）、数学</w:t>
            </w:r>
          </w:p>
        </w:tc>
      </w:tr>
      <w:tr w14:paraId="3AA36964">
        <w:tc>
          <w:tcPr>
            <w:tcW w:w="1185" w:type="dxa"/>
            <w:vMerge w:val="continue"/>
            <w:vAlign w:val="center"/>
          </w:tcPr>
          <w:p w14:paraId="6F90FF8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86FFC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vAlign w:val="center"/>
          </w:tcPr>
          <w:p w14:paraId="25DE6356">
            <w:pPr>
              <w:widowControl w:val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国际中文教育（中文授课）</w:t>
            </w:r>
          </w:p>
        </w:tc>
        <w:tc>
          <w:tcPr>
            <w:tcW w:w="3114" w:type="dxa"/>
            <w:vAlign w:val="center"/>
          </w:tcPr>
          <w:p w14:paraId="2DE9DB44">
            <w:pPr>
              <w:widowControl w:val="0"/>
              <w:jc w:val="center"/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Teaching Chinese to Speakers of Other Languages</w:t>
            </w:r>
          </w:p>
        </w:tc>
        <w:tc>
          <w:tcPr>
            <w:tcW w:w="1623" w:type="dxa"/>
            <w:vAlign w:val="center"/>
          </w:tcPr>
          <w:p w14:paraId="6F1F1BD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文科中文（持HSK合格成绩可免考）、数学</w:t>
            </w:r>
          </w:p>
        </w:tc>
      </w:tr>
    </w:tbl>
    <w:p w14:paraId="516BB77F">
      <w:pPr>
        <w:rPr>
          <w:b/>
        </w:rPr>
      </w:pPr>
    </w:p>
    <w:p w14:paraId="53BB8B3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0FEC"/>
    <w:rsid w:val="38DFD732"/>
    <w:rsid w:val="45CB1D6E"/>
    <w:rsid w:val="5FFDB5D7"/>
    <w:rsid w:val="67FF85A4"/>
    <w:rsid w:val="6F7BC690"/>
    <w:rsid w:val="76D75433"/>
    <w:rsid w:val="79F77CCF"/>
    <w:rsid w:val="7FD90FEC"/>
    <w:rsid w:val="7FDA1564"/>
    <w:rsid w:val="D3FF5054"/>
    <w:rsid w:val="E1B71EE7"/>
    <w:rsid w:val="EBEBB15A"/>
    <w:rsid w:val="ECF25607"/>
    <w:rsid w:val="F67F4627"/>
    <w:rsid w:val="FEEDCA37"/>
    <w:rsid w:val="FE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2025-10-22T02:53:00Z</dcterms:created>
  <dc:creator>Nadia</dc:creator>
  <cp:lastModifiedBy>Nadia</cp:lastModifiedBy>
  <dcterms:modified xsi:type="dcterms:W3CDTF">2025-10-31T09:42:45Z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AB6A4FDD1CFAA6BE151404697F825807_43</vt:lpwstr>
  </property>
</Properties>
</file>